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161030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</w:t>
      </w:r>
      <w:r w:rsidR="00257BE2">
        <w:rPr>
          <w:rFonts w:ascii="標楷體" w:eastAsia="標楷體" w:hAnsi="標楷體" w:hint="eastAsia"/>
          <w:b/>
          <w:sz w:val="28"/>
          <w:szCs w:val="28"/>
        </w:rPr>
        <w:t>班初級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E159A3">
        <w:rPr>
          <w:rFonts w:ascii="標楷體" w:eastAsia="標楷體" w:hAnsi="標楷體" w:hint="eastAsia"/>
          <w:sz w:val="28"/>
          <w:szCs w:val="28"/>
        </w:rPr>
        <w:t>五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E159A3">
        <w:rPr>
          <w:rFonts w:ascii="標楷體" w:eastAsia="標楷體" w:hAnsi="標楷體" w:hint="eastAsia"/>
          <w:sz w:val="28"/>
          <w:szCs w:val="28"/>
        </w:rPr>
        <w:t>1</w:t>
      </w:r>
      <w:r w:rsidR="00257BE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額滿為止，每班人數上限20人。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基礎(一)、基礎(二)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每位學員均須另繳交100元教材費。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6D1B61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6D1B61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基礎(一)達16人、基礎(二)達15人、初級班達14人、中級班達12人、高級班達10人、進階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6D1B61">
        <w:rPr>
          <w:rFonts w:ascii="標楷體" w:eastAsia="標楷體" w:hAnsi="標楷體" w:hint="eastAsia"/>
          <w:sz w:val="28"/>
          <w:szCs w:val="28"/>
        </w:rPr>
        <w:t>0蔡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E8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257B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五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257BE2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bookmarkStart w:id="0" w:name="_GoBack"/>
            <w:bookmarkEnd w:id="0"/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3"/>
      <w:footerReference w:type="default" r:id="rId14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BE2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7BE2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D1B61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749D0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1860</Words>
  <Characters>356</Characters>
  <Application>Microsoft Office Word</Application>
  <DocSecurity>0</DocSecurity>
  <Lines>2</Lines>
  <Paragraphs>4</Paragraphs>
  <ScaleCrop>false</ScaleCrop>
  <Company>Net School</Company>
  <LinksUpToDate>false</LinksUpToDate>
  <CharactersWithSpaces>2212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2</cp:revision>
  <cp:lastPrinted>2016-02-02T11:09:00Z</cp:lastPrinted>
  <dcterms:created xsi:type="dcterms:W3CDTF">2016-12-06T07:52:00Z</dcterms:created>
  <dcterms:modified xsi:type="dcterms:W3CDTF">2016-12-06T07:52:00Z</dcterms:modified>
</cp:coreProperties>
</file>